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Kasten Yaralama Suçu ve Cezası (TCK 86): Haklarınız, Şikayet Süreci ve Nitelikli Haller</w:t>
      </w:r>
      <w:bookmarkEnd w:id="0"/>
    </w:p>
    <w:p>
      <w:pPr>
        <w:pStyle w:val="Heading2"/>
      </w:pPr>
      <w:r>
        <w:rPr/>
        <w:t xml:space="preserve">Kasten Yaralama Suçu Nedir? (TCK Madde 86)</w:t>
      </w:r>
    </w:p>
    <w:p>
      <w:pPr/>
      <w:r>
        <w:rPr/>
        <w:t xml:space="preserve">Kasten yaralama suçu, Türk Ceza Kanunu'nun 86. maddesinde düzenlenmiş olup, bir başkasının vücuduna kasten acı verilmesi, sağlığının veya algılama yeteneğinin bozulmasına neden olunmasıdır. Bu suç, toplumda en sık karşılaşılan suç tiplerinden biridir ve basit bir fiziki müdahaleden, hayati tehlikeye yol açan ağır eylemlere kadar geniş bir yelpazeyi kapsar.</w:t>
      </w:r>
    </w:p>
    <w:p>
      <w:pPr>
        <w:pStyle w:val="Heading2"/>
      </w:pPr>
      <w:r>
        <w:rPr/>
        <w:t xml:space="preserve">Kasten Yaralama Suçunun Temel Hali ve Cezası</w:t>
      </w:r>
    </w:p>
    <w:p>
      <w:pPr/>
      <w:r>
        <w:rPr/>
        <w:t xml:space="preserve">TCK Madde 86/1'e göre, kasten başkasının vücuduna acı veren veya sağlığının ya da algılama yeteneğinin bozulmasına neden olan kişi, </w:t>
      </w:r>
      <w:r>
        <w:rPr>
          <w:b w:val="1"/>
          <w:bCs w:val="1"/>
        </w:rPr>
        <w:t xml:space="preserve">bir yıldan üç yıla kadar hapis cezası</w:t>
      </w:r>
      <w:r>
        <w:rPr/>
        <w:t xml:space="preserve"> ile cezalandırılır. Suçun bu temel hali, şikayete tabi değildir ve savcılık tarafından resen soruşturulur.</w:t>
      </w:r>
    </w:p>
    <w:p>
      <w:pPr>
        <w:pStyle w:val="Heading3"/>
      </w:pPr>
      <w:r>
        <w:rPr/>
        <w:t xml:space="preserve">Basit Tıbbi Müdahale ile Giderilebilecek Yaralamalar (Şikayete Tabi Hal)</w:t>
      </w:r>
    </w:p>
    <w:p>
      <w:pPr/>
      <w:r>
        <w:rPr/>
        <w:t xml:space="preserve">TCK Madde 86/2 uyarınca, eğer kasten yaralama fiili, mağdurun bedeninde 'basit bir tıbbî müdahaleyle giderilebilecek' nitelikte bir zarara yol açmışsa, ceza daha hafiftir. Bu durumda, fail hakkında </w:t>
      </w:r>
      <w:r>
        <w:rPr>
          <w:b w:val="1"/>
          <w:bCs w:val="1"/>
        </w:rPr>
        <w:t xml:space="preserve">dört aydan bir yıla kadar hapis veya adlî para cezasına</w:t>
      </w:r>
      <w:r>
        <w:rPr/>
        <w:t xml:space="preserve"> hükmolunur. Bu halin en önemli özelliği, soruşturulması ve kovuşturulmasının mağdurun şikayetine bağlı olmasıdır. Mağdur, 6 ay içinde şikayette bulunmazsa, bu hakkını kaybeder.</w:t>
      </w:r>
    </w:p>
    <w:p>
      <w:pPr>
        <w:pStyle w:val="Heading2"/>
      </w:pPr>
      <w:r>
        <w:rPr/>
        <w:t xml:space="preserve">Cezayı Artıran Nitelikli Haller Nelerdir?</w:t>
      </w:r>
    </w:p>
    <w:p>
      <w:pPr/>
      <w:r>
        <w:rPr/>
        <w:t xml:space="preserve">Bazı durumlarda kasten yaralama suçunun cezası, kanunda belirtilen nitelikli haller nedeniyle artırılır. Bu haller şunlardır (TCK m. 86/3):</w:t>
      </w:r>
    </w:p>
    <w:p>
      <w:pPr>
        <w:numPr>
          <w:ilvl w:val="0"/>
          <w:numId w:val="1"/>
        </w:numPr>
      </w:pPr>
      <w:r>
        <w:rPr>
          <w:b w:val="1"/>
          <w:bCs w:val="1"/>
        </w:rPr>
        <w:t xml:space="preserve">Üstsoya, altsoya, eşe veya kardeşe karşı işlenmesi:</w:t>
      </w:r>
      <w:r>
        <w:rPr/>
        <w:t xml:space="preserve"> Aile içi şiddetin önlenmesi amacıyla bu kişilere karşı işlenen yaralama suçlarında ceza artırılır.</w:t>
      </w:r>
    </w:p>
    <w:p>
      <w:pPr>
        <w:numPr>
          <w:ilvl w:val="0"/>
          <w:numId w:val="1"/>
        </w:numPr>
      </w:pPr>
      <w:r>
        <w:rPr>
          <w:b w:val="1"/>
          <w:bCs w:val="1"/>
        </w:rPr>
        <w:t xml:space="preserve">Beden veya ruh bakımından kendisini savunamayacak durumda bulunan kişiye karşı işlenmesi:</w:t>
      </w:r>
      <w:r>
        <w:rPr/>
        <w:t xml:space="preserve"> Yaşlılar, engelliler veya çocuklar gibi savunmasız kişilere karşı işlenmesi.</w:t>
      </w:r>
    </w:p>
    <w:p>
      <w:pPr>
        <w:numPr>
          <w:ilvl w:val="0"/>
          <w:numId w:val="1"/>
        </w:numPr>
      </w:pPr>
      <w:r>
        <w:rPr>
          <w:b w:val="1"/>
          <w:bCs w:val="1"/>
        </w:rPr>
        <w:t xml:space="preserve">Kişinin yerine getirdiği kamu görevi nedeniyle işlenmesi:</w:t>
      </w:r>
      <w:r>
        <w:rPr/>
        <w:t xml:space="preserve"> Örneğin bir doktora, avukata veya öğretmene görevi nedeniyle saldırılması.</w:t>
      </w:r>
    </w:p>
    <w:p>
      <w:pPr>
        <w:numPr>
          <w:ilvl w:val="0"/>
          <w:numId w:val="1"/>
        </w:numPr>
      </w:pPr>
      <w:r>
        <w:rPr>
          <w:b w:val="1"/>
          <w:bCs w:val="1"/>
        </w:rPr>
        <w:t xml:space="preserve">Kamu görevlisinin sahip bulunduğu nüfuz kötüye kullanılmak suretiyle işlenmesi.</w:t>
      </w:r>
    </w:p>
    <w:p>
      <w:pPr>
        <w:numPr>
          <w:ilvl w:val="0"/>
          <w:numId w:val="1"/>
        </w:numPr>
      </w:pPr>
      <w:r>
        <w:rPr>
          <w:b w:val="1"/>
          <w:bCs w:val="1"/>
        </w:rPr>
        <w:t xml:space="preserve">Silahla işlenmesi:</w:t>
      </w:r>
      <w:r>
        <w:rPr/>
        <w:t xml:space="preserve"> 'Silah' kavramı sadece ateşli silahları değil, aynı zamanda kesici, delici veya saldırıda kullanılmaya elverişli her türlü aleti (bıçak, sopa, tornavida vb.) kapsar.</w:t>
      </w:r>
    </w:p>
    <w:p>
      <w:pPr/>
      <w:r>
        <w:rPr/>
        <w:t xml:space="preserve">Bu nitelikli hallerin varlığı durumunda, verilecek ceza yarı oranında, silahla işlenmesi durumunda ise bir kat artırılır.</w:t>
      </w:r>
    </w:p>
    <w:p>
      <w:pPr>
        <w:pStyle w:val="Heading2"/>
      </w:pPr>
      <w:r>
        <w:rPr/>
        <w:t xml:space="preserve">Neticesi Sebebiyle Ağırlaşmış Yaralama (TCK Madde 87)</w:t>
      </w:r>
    </w:p>
    <w:p>
      <w:pPr/>
      <w:r>
        <w:rPr/>
        <w:t xml:space="preserve">Kasten yaralama eylemi sonucunda mağdurda aşağıda belirtilen ağır sonuçlardan biri meydana gelmişse, fail çok daha ağır cezalarla karşı karşıya kalır. Bu durumlar 'neticesi sebebiyle ağırlaşmış yaralama' olarak adlandırılır:</w:t>
      </w:r>
    </w:p>
    <w:p>
      <w:pPr>
        <w:numPr>
          <w:ilvl w:val="0"/>
          <w:numId w:val="2"/>
        </w:numPr>
      </w:pPr>
      <w:r>
        <w:rPr/>
        <w:t xml:space="preserve">Duyularından veya organlarından birinin işlevinin sürekli zayıflamasına neden olması.</w:t>
      </w:r>
    </w:p>
    <w:p>
      <w:pPr>
        <w:numPr>
          <w:ilvl w:val="0"/>
          <w:numId w:val="2"/>
        </w:numPr>
      </w:pPr>
      <w:r>
        <w:rPr/>
        <w:t xml:space="preserve">Konuşmasında sürekli zorluğa yol açması.</w:t>
      </w:r>
    </w:p>
    <w:p>
      <w:pPr>
        <w:numPr>
          <w:ilvl w:val="0"/>
          <w:numId w:val="2"/>
        </w:numPr>
      </w:pPr>
      <w:r>
        <w:rPr/>
        <w:t xml:space="preserve">Yüzünde sabit ize neden olması.</w:t>
      </w:r>
    </w:p>
    <w:p>
      <w:pPr>
        <w:numPr>
          <w:ilvl w:val="0"/>
          <w:numId w:val="2"/>
        </w:numPr>
      </w:pPr>
      <w:r>
        <w:rPr/>
        <w:t xml:space="preserve">Yaşamını tehlikeye sokan bir duruma neden olması.</w:t>
      </w:r>
    </w:p>
    <w:p>
      <w:pPr>
        <w:numPr>
          <w:ilvl w:val="0"/>
          <w:numId w:val="2"/>
        </w:numPr>
      </w:pPr>
      <w:r>
        <w:rPr/>
        <w:t xml:space="preserve">Gebe bir kadına karşı işlenip çocuğunun vaktinden önce doğmasına neden olması.</w:t>
      </w:r>
    </w:p>
    <w:p>
      <w:pPr/>
      <w:r>
        <w:rPr/>
        <w:t xml:space="preserve">Yukarıdaki durumlarda ceza bir kat artırılır. Ancak eylem TCK 86/1 kapsamındaysa ceza üç yıldan, TCK 86/3 kapsamındaysa beş yıldan az olamaz.</w:t>
      </w:r>
    </w:p>
    <w:p>
      <w:pPr>
        <w:pStyle w:val="Heading3"/>
      </w:pPr>
      <w:r>
        <w:rPr/>
        <w:t xml:space="preserve">Daha Ağır Sonuçlar:</w:t>
      </w:r>
    </w:p>
    <w:p>
      <w:pPr>
        <w:numPr>
          <w:ilvl w:val="0"/>
          <w:numId w:val="3"/>
        </w:numPr>
      </w:pPr>
      <w:r>
        <w:rPr/>
        <w:t xml:space="preserve">İyileşmesi olanağı bulunmayan bir hastalığa veya bitkisel hayata girmesine neden olması.</w:t>
      </w:r>
    </w:p>
    <w:p>
      <w:pPr>
        <w:numPr>
          <w:ilvl w:val="0"/>
          <w:numId w:val="3"/>
        </w:numPr>
      </w:pPr>
      <w:r>
        <w:rPr/>
        <w:t xml:space="preserve">Duyularından veya organlarından birinin işlevini yitirmesine neden olması.</w:t>
      </w:r>
    </w:p>
    <w:p>
      <w:pPr>
        <w:numPr>
          <w:ilvl w:val="0"/>
          <w:numId w:val="3"/>
        </w:numPr>
      </w:pPr>
      <w:r>
        <w:rPr/>
        <w:t xml:space="preserve">Konuşma ya da çocuk yapma yeteneklerinin kaybolmasına neden olması.</w:t>
      </w:r>
    </w:p>
    <w:p>
      <w:pPr>
        <w:numPr>
          <w:ilvl w:val="0"/>
          <w:numId w:val="3"/>
        </w:numPr>
      </w:pPr>
      <w:r>
        <w:rPr/>
        <w:t xml:space="preserve">Yüzünün sürekli değişikliğine neden olması.</w:t>
      </w:r>
    </w:p>
    <w:p>
      <w:pPr>
        <w:numPr>
          <w:ilvl w:val="0"/>
          <w:numId w:val="3"/>
        </w:numPr>
      </w:pPr>
      <w:r>
        <w:rPr/>
        <w:t xml:space="preserve">Gebe bir kadına karşı işlenip çocuğunun düşmesine neden olması.</w:t>
      </w:r>
    </w:p>
    <w:p>
      <w:pPr/>
      <w:r>
        <w:rPr/>
        <w:t xml:space="preserve">Bu daha ağır sonuçlarda ise ceza iki kat artırılır ve verilecek ceza yine belirli alt sınırlardan az olamaz.</w:t>
      </w:r>
    </w:p>
    <w:p>
      <w:pPr>
        <w:pStyle w:val="Heading2"/>
      </w:pPr>
      <w:r>
        <w:rPr/>
        <w:t xml:space="preserve">Kasten Yaralama Suçunda Görevli Mahkeme ve Uzlaştırma</w:t>
      </w:r>
    </w:p>
    <w:p>
      <w:pPr/>
      <w:r>
        <w:rPr/>
        <w:t xml:space="preserve">Kasten yaralama suçlarında görevli mahkeme, suçun temel hali ve nitelikli hallerinin çoğunda </w:t>
      </w:r>
      <w:r>
        <w:rPr>
          <w:b w:val="1"/>
          <w:bCs w:val="1"/>
        </w:rPr>
        <w:t xml:space="preserve">Asliye Ceza Mahkemesi</w:t>
      </w:r>
      <w:r>
        <w:rPr/>
        <w:t xml:space="preserve">'dir. Ancak, neticesi sebebiyle ağırlaşmış yaralama hallerinden bazılarında (örneğin ölüme neden olma) görevli mahkeme </w:t>
      </w:r>
      <w:r>
        <w:rPr>
          <w:b w:val="1"/>
          <w:bCs w:val="1"/>
        </w:rPr>
        <w:t xml:space="preserve">Ağır Ceza Mahkemesi</w:t>
      </w:r>
      <w:r>
        <w:rPr/>
        <w:t xml:space="preserve"> olabilir. Basit tıbbi müdahale ile giderilebilecek yaralama (TCK 86/2) ve TCK 86/1 kapsamındaki temel yaralama suçu uzlaştırma kapsamındadır. Yani, yargılama başlamadan önce tarafların bir uzlaştırmacı aracılığıyla anlaşması mümkündür.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15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1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9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2025-12-06T06:50:48+00:00</dcterms:created>
  <dcterms:modified xsi:type="dcterms:W3CDTF">2025-12-06T06:50:48+00:00</dcterms:modified>
</cp:coreProperties>
</file>

<file path=docProps/custom.xml><?xml version="1.0" encoding="utf-8"?>
<Properties xmlns="http://schemas.openxmlformats.org/officeDocument/2006/custom-properties" xmlns:vt="http://schemas.openxmlformats.org/officeDocument/2006/docPropsVTypes"/>
</file>